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b="0" l="0" r="0" t="0"/>
            <wp:wrapNone/>
            <wp:docPr id="159700701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b="0" l="0" r="0" t="0"/>
            <wp:wrapNone/>
            <wp:docPr id="15970070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45720</wp:posOffset>
                </wp:positionV>
                <wp:extent cx="4476115" cy="718185"/>
                <wp:effectExtent b="0" l="0" r="0" t="0"/>
                <wp:wrapSquare wrapText="bothSides" distB="45720" distT="45720" distL="114300" distR="114300"/>
                <wp:docPr id="15970070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Plan izvođenja cjeline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45720</wp:posOffset>
                </wp:positionV>
                <wp:extent cx="4476115" cy="718185"/>
                <wp:effectExtent b="0" l="0" r="0" t="0"/>
                <wp:wrapSquare wrapText="bothSides" distB="45720" distT="45720" distL="114300" distR="114300"/>
                <wp:docPr id="159700701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115" cy="7181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992505"/>
                <wp:effectExtent b="0" l="0" r="0" t="0"/>
                <wp:wrapSquare wrapText="bothSides" distB="45720" distT="45720" distL="114300" distR="114300"/>
                <wp:docPr id="15970070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Obučavanje učitelja za autentično i rodno uključivo informatičko obrazovanje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992505"/>
                <wp:effectExtent b="0" l="0" r="0" t="0"/>
                <wp:wrapSquare wrapText="bothSides" distB="45720" distT="45720" distL="114300" distR="114300"/>
                <wp:docPr id="159700701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925" cy="9925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1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OPĆE INFORMACIJE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 2: TINKER okvir - principi autentičnog učenja i praktični vodič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Jedinica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2.2: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color w:val="1d1d1b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Autentično učenje u informatičkom obrazovanju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Ciljna skupina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Učitelji koji poučavaju učenike starosti 12 do 14 godina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Trajanje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90 minuta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Preduvjeti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Polaznici bi trebali završiti cjelinu 2.1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 bodovi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ISHODI UČENJA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Analizirati, vrednovati i procijeniti učinkovitost autentičnih zadataka analizirajući ishode i povratne informacije iz studija slučaja u učionicama informatike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Razviti i usavršiti plan lekcije autentičnog učenja koristeći najmanje 3 elementa autentičnog učenja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METODE POUČAVANJA (označite sve što se primjenjuje)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Učenje kroz djelovanje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Učenje od vršnjaka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Učenje temeljeno na projektima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Praktično učenje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Strategije aktivnog učenja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Suradničko učenje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Kombinirano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MATERIJAL ZA UČENJE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Potreban materijal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Računalo, projekcijsko platno i pristup Internetu.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Radni listovi  za aktivnost 2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Veliki papirnati listovi za svaku grupu koja radi na aktivnosti 3.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Olovke, markeri, papir. </w:t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Za online radionice, grupe mogu koristiti digitalne ploče poput</w:t>
            </w:r>
            <w:r w:rsidDel="00000000" w:rsidR="00000000" w:rsidRPr="00000000">
              <w:rPr>
                <w:rtl w:val="0"/>
              </w:rPr>
              <w:t xml:space="preserve">: </w:t>
              <w:br w:type="textWrapping"/>
              <w:t xml:space="preserve">-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miro </w:t>
              </w:r>
            </w:hyperlink>
            <w:r w:rsidDel="00000000" w:rsidR="00000000" w:rsidRPr="00000000">
              <w:rPr>
                <w:rtl w:val="0"/>
              </w:rPr>
              <w:br w:type="textWrapping"/>
              <w:t xml:space="preserve">- </w:t>
            </w: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canva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Dodatni resursi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46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SADRŽAJ CJELINE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Uvod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Kratak pregled teme i konteksta cjeline. Objasnite zašto je tema važna i kako se nadovezuje na prethodno znanje.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Aktivnosti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Igra pamćenja (10 minuta)</w:t>
            </w:r>
          </w:p>
          <w:p w:rsidR="00000000" w:rsidDel="00000000" w:rsidP="00000000" w:rsidRDefault="00000000" w:rsidRPr="00000000" w14:paraId="0000004E">
            <w:pPr>
              <w:pStyle w:val="Heading3"/>
              <w:rPr/>
            </w:pPr>
            <w:bookmarkStart w:colFirst="0" w:colLast="0" w:name="_heading=h.rr2of0zf9jd7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Prikaznica 6: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Podijelite polaznike u male grupe i svakoj grupi dajte list papira. Zatim pokrenite mjerač vremena na 2 minute i potaknite ih da zapišu što više od 9 elemenata autentičnog učenja kojih se mogu prisjetiti. Prvi tim koji završi je pobjednik 1. kruga.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2. krug: Sljedeći izazov je zapamtiti ili osmisliti primjere za svaki element vezan uz informatiku. Prvi koji završi svih 9 pobjeđuje u 2. krugu.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 </w:t>
            </w:r>
            <w:r w:rsidDel="00000000" w:rsidR="00000000" w:rsidRPr="00000000">
              <w:rPr>
                <w:rtl w:val="0"/>
              </w:rPr>
              <w:t xml:space="preserve">: Podsjetite polaznike što su naučili u cjelini 2.1 na zabavan i kolaborativan način.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/>
            </w:pPr>
            <w:bookmarkStart w:colFirst="0" w:colLast="0" w:name="_heading=h.css9k3mpsklk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2. Prepoznavanje elemenata autentičnog učenja u studijama slučaja kružnim postupkom (50 min)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Prikaznice 7-13: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Zamolite polaznike da se podijele u grupe od 3 ili 4 osobe. Podijelite kopije 5 odabranih primjera lekcija razvijenih u WP2. </w:t>
            </w:r>
            <w:r w:rsidDel="00000000" w:rsidR="00000000" w:rsidRPr="00000000">
              <w:rPr>
                <w:highlight w:val="yellow"/>
                <w:rtl w:val="0"/>
              </w:rPr>
              <w:t xml:space="preserve">(</w:t>
            </w:r>
            <w:hyperlink r:id="rId13">
              <w:r w:rsidDel="00000000" w:rsidR="00000000" w:rsidRPr="00000000">
                <w:rPr>
                  <w:color w:val="1155cc"/>
                  <w:highlight w:val="yellow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highlight w:val="yellow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Polaznici će u grupama čitati planove lekcija i u njima nastojati prepoznati elemente autentičnog učenja. Koristite upute za raspravu na Prikaznicama 8-12.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Grupe će provesti 7-8 minuta na svakoj studiji slučaja, a zatim će se rotirati.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Nakon svih primjera, svi se okupljaju u zajedničku raspravu i koriste prikaznicu 13 kao vodič.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</w:t>
            </w:r>
            <w:r w:rsidDel="00000000" w:rsidR="00000000" w:rsidRPr="00000000">
              <w:rPr>
                <w:rtl w:val="0"/>
              </w:rPr>
              <w:t xml:space="preserve">: Uključiti polaznike u vježbu prepoznavanja elemenata autentičnog učenja u dizajnu plana nastavne cjeline.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x4ydl2ubuj92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3.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Oblikovanje aktivnosti autentičnog učenja za nastavu informatike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(30 min)</w:t>
            </w:r>
          </w:p>
          <w:p w:rsidR="00000000" w:rsidDel="00000000" w:rsidP="00000000" w:rsidRDefault="00000000" w:rsidRPr="00000000" w14:paraId="00000062">
            <w:pPr>
              <w:pStyle w:val="Heading3"/>
              <w:rPr/>
            </w:pPr>
            <w:bookmarkStart w:colFirst="0" w:colLast="0" w:name="_heading=h.gqhm0sc7a6ic" w:id="4"/>
            <w:bookmarkEnd w:id="4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Prikaznica 14: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Zamolite sudionike da odrede temu za koju žele napisati nastavni plan. Polaznici mogu raditi samostalno ili se grupirati prema zajedničkoj temi. Polaznici koji nisu došli pripremljeni s temom za koju žele napisati plan mogu zajedno formirati grupu i odlučiti o temi koju žele istražiti kao grupa (ne više od 3 po grupi kako bi se osigurala dobra komunikacija i suradnja).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Sudionici mogu koristiti predložak plana lekcije iz projekta TINKER.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Svaka grupa mora uključiti sljedeće obvezne elemente autentičnog učenja: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Autentični kontekst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Autentični zadatak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Plan lekcije mora također uključivati najmanje tri druga elementa iz modela autentičnog učenja.</w:t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</w:t>
            </w:r>
            <w:r w:rsidDel="00000000" w:rsidR="00000000" w:rsidRPr="00000000">
              <w:rPr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Polaznici praktično primjenjuju znanje o autentičnom učenju kroz izradu vlastitog nastavnog plana za informatiku.</w:t>
            </w:r>
            <w:r w:rsidDel="00000000" w:rsidR="00000000" w:rsidRPr="00000000">
              <w:rPr>
                <w:rtl w:val="0"/>
              </w:rPr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u8o4fmlrwe7h" w:id="5"/>
            <w:bookmarkEnd w:id="5"/>
            <w:r w:rsidDel="00000000" w:rsidR="00000000" w:rsidRPr="00000000">
              <w:rPr>
                <w:i w:val="0"/>
                <w:u w:val="single"/>
                <w:rtl w:val="0"/>
              </w:rPr>
              <w:t xml:space="preserve">4. Pregled i refleksija (5 min)</w:t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Vodite polaznike kroz teme za refleksiju na prikaznici 15. Ako ima vremena, uključite polaznike u raspravu cijele grupe.</w:t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Ishod: </w:t>
            </w:r>
            <w:r w:rsidDel="00000000" w:rsidR="00000000" w:rsidRPr="00000000">
              <w:rPr>
                <w:rtl w:val="0"/>
              </w:rPr>
              <w:t xml:space="preserve">Polaznici razmišljaju o aktivnostima i materijalima iz nastavne cjeline, ponavljaju što su naučili.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Vrednovanje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Vrednovanje cjeline provodi se unutar Aktivnosti 4.</w:t>
            </w:r>
          </w:p>
        </w:tc>
      </w:tr>
    </w:tbl>
    <w:p w:rsidR="00000000" w:rsidDel="00000000" w:rsidP="00000000" w:rsidRDefault="00000000" w:rsidRPr="00000000" w14:paraId="00000074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ZAKLJUČAK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Razmišljanje i zaključak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/>
            </w:pPr>
            <w:r w:rsidDel="00000000" w:rsidR="00000000" w:rsidRPr="00000000">
              <w:rPr>
                <w:rtl w:val="0"/>
              </w:rPr>
              <w:t xml:space="preserve">Polaznici će razmisliti o onome što su naučili tijekom ove cjeline tijekom aktivnosti 4: Pregled i refleksija.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Domaća zadaća/Dodatni zadaci</w:t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first"/>
      <w:headerReference r:id="rId16" w:type="even"/>
      <w:footerReference r:id="rId17" w:type="default"/>
      <w:footerReference r:id="rId18" w:type="first"/>
      <w:footerReference r:id="rId19" w:type="even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704850"/>
              <wp:effectExtent b="0" l="0" r="0" t="0"/>
              <wp:wrapNone/>
              <wp:docPr id="15970070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452745" cy="704850"/>
              <wp:effectExtent b="0" l="0" r="0" t="0"/>
              <wp:wrapNone/>
              <wp:docPr id="159700701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52745" cy="7048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-647699</wp:posOffset>
          </wp:positionH>
          <wp:positionV relativeFrom="paragraph">
            <wp:posOffset>228600</wp:posOffset>
          </wp:positionV>
          <wp:extent cx="1311275" cy="337820"/>
          <wp:effectExtent b="0" l="0" r="0" t="0"/>
          <wp:wrapNone/>
          <wp:docPr id="15970070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72EE"/>
  </w:style>
  <w:style w:type="character" w:styleId="Heading1Char" w:customStyle="1">
    <w:name w:val="Heading 1 Char"/>
    <w:basedOn w:val="DefaultParagraphFont"/>
    <w:link w:val="Heading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 w:val="1"/>
    <w:rsid w:val="00B22564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iro.com/online-whiteboard/" TargetMode="External"/><Relationship Id="rId10" Type="http://schemas.openxmlformats.org/officeDocument/2006/relationships/image" Target="media/image3.jpg"/><Relationship Id="rId13" Type="http://schemas.openxmlformats.org/officeDocument/2006/relationships/hyperlink" Target="https://tinker-project.eu/wp-content/uploads/2025/05/TINKER_WP2_Toolkit_Learning-Scenarios__CR_FV.pdf" TargetMode="External"/><Relationship Id="rId12" Type="http://schemas.openxmlformats.org/officeDocument/2006/relationships/hyperlink" Target="https://www.canva.com/online-whiteboard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eader" Target="header3.xml"/><Relationship Id="rId14" Type="http://schemas.openxmlformats.org/officeDocument/2006/relationships/header" Target="header2.xml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3.xml"/><Relationship Id="rId7" Type="http://schemas.openxmlformats.org/officeDocument/2006/relationships/image" Target="media/image2.jpg"/><Relationship Id="rId8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/AwngjgWsCowc6/EX8HA1epC7Q==">CgMxLjAyDmgud2YzdWc5anUwczNnMg5oLnJyMm9mMHpmOWpkNzIOaC5jc3M5azNtcHNrbGsyDmgueDR5ZGwydWJ1ajkyMg5oLmdxaG0wc2M3YTZpYzIOaC51OG80Zm1scndlN2g4AHIhMUF4OUU0ZmRXeVdkMW9sMk9iQW9zTXRIeFRKUUw3OGQ0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2024-11-19T18:08:00Z</dcterms:created>
  <dc:creator>Helen</dc:creator>
</cp:coreProperties>
</file>