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-2647936</wp:posOffset>
            </wp:positionH>
            <wp:positionV relativeFrom="paragraph">
              <wp:posOffset>-914384</wp:posOffset>
            </wp:positionV>
            <wp:extent cx="5732145" cy="4373880"/>
            <wp:effectExtent b="0" l="0" r="0" t="0"/>
            <wp:wrapNone/>
            <wp:docPr id="159700706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-389874</wp:posOffset>
            </wp:positionH>
            <wp:positionV relativeFrom="paragraph">
              <wp:posOffset>-514332</wp:posOffset>
            </wp:positionV>
            <wp:extent cx="3048000" cy="834853"/>
            <wp:effectExtent b="0" l="0" r="0" t="0"/>
            <wp:wrapNone/>
            <wp:docPr id="159700706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45720</wp:posOffset>
                </wp:positionV>
                <wp:extent cx="4542790" cy="784860"/>
                <wp:effectExtent b="0" l="0" r="0" t="0"/>
                <wp:wrapSquare wrapText="bothSides" distB="45720" distT="45720" distL="114300" distR="114300"/>
                <wp:docPr id="159700706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Plan izvođenja lekcije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558800</wp:posOffset>
                </wp:positionH>
                <wp:positionV relativeFrom="paragraph">
                  <wp:posOffset>45720</wp:posOffset>
                </wp:positionV>
                <wp:extent cx="4542790" cy="784860"/>
                <wp:effectExtent b="0" l="0" r="0" t="0"/>
                <wp:wrapSquare wrapText="bothSides" distB="45720" distT="45720" distL="114300" distR="114300"/>
                <wp:docPr id="159700706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42790" cy="7848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45720</wp:posOffset>
                </wp:positionV>
                <wp:extent cx="4800600" cy="1059180"/>
                <wp:effectExtent b="0" l="0" r="0" t="0"/>
                <wp:wrapSquare wrapText="bothSides" distB="45720" distT="45720" distL="114300" distR="114300"/>
                <wp:docPr id="159700706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WP3: Obučavanje učitelja za autentično i rodno uključivo informatičko obrazovanje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45720</wp:posOffset>
                </wp:positionV>
                <wp:extent cx="4800600" cy="1059180"/>
                <wp:effectExtent b="0" l="0" r="0" t="0"/>
                <wp:wrapSquare wrapText="bothSides" distB="45720" distT="45720" distL="114300" distR="114300"/>
                <wp:docPr id="159700706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1059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67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OPĆE INFORMACIJE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Modul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Modul 7: Akcijsko istraživanje: učitelji kao sukreatori rješenja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Jedinica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7.2: Suradničko akcijsko istraživanje: osmišljavanje rješenja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Ciljna skupina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Učitelji koji poučavaju učenike starosti 10 do 12 godina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Trajanje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 minuta (uključujući vrijeme za osobno učenje)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Preduvjeti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Završetak cjeline 7.1 (</w:t>
            </w:r>
            <w:r w:rsidDel="00000000" w:rsidR="00000000" w:rsidRPr="00000000">
              <w:rPr>
                <w:i w:val="1"/>
                <w:rtl w:val="0"/>
              </w:rPr>
              <w:t xml:space="preserve">Prepoznavanje izazova u učionici</w:t>
            </w:r>
            <w:r w:rsidDel="00000000" w:rsidR="00000000" w:rsidRPr="00000000">
              <w:rPr>
                <w:rtl w:val="0"/>
              </w:rPr>
              <w:t xml:space="preserve">).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ECTS bodovi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D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ISHODI UČENJA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Osmisliti i provesti plan akcijskog istraživanja s mjerljivim rezultatima.</w:t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Surađivati s kolegama kako bi razvili i poboljšali rješenja (intervencije).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Stvoriti ciljana rješenja usklađena s ciljevima informatičkog obrazovanja i rodne uključivosti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Izraditi detaljan plan koristeći SMART pitanja, jasne korake i metode prikupljanja podataka.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9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METODE POUČAVANJA (označite sve što se primjenjuje)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Učenje kroz djelovanje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Učenje od vršnjaka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Učenje temeljeno na projektima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Praktično učenje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Strategije aktivnog učenja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Suradničko učenje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Kombinirano učenje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MATERIJAL ZA UČENJE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Potreban materijal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PowerPoint slajdovi (Modul 7,  cjelina 7.2)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Papirići za aktivnost br. 1 ( </w:t>
            </w:r>
            <w:hyperlink r:id="rId11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Miro 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ili </w:t>
            </w:r>
            <w:hyperlink r:id="rId12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Padlet </w:t>
              </w:r>
            </w:hyperlink>
            <w:r w:rsidDel="00000000" w:rsidR="00000000" w:rsidRPr="00000000">
              <w:rPr>
                <w:color w:val="1d1d1b"/>
                <w:rtl w:val="0"/>
              </w:rPr>
              <w:t xml:space="preserve">za online implementaciju)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/>
            </w:pPr>
            <w:r w:rsidDel="00000000" w:rsidR="00000000" w:rsidRPr="00000000">
              <w:rPr>
                <w:color w:val="1d1d1b"/>
                <w:rtl w:val="0"/>
              </w:rPr>
              <w:t xml:space="preserve">Predložak plana akcijskog istraživanja (za aktivnost br. 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72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Dodatni resursi</w:t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Hargreaves, A., &amp; O’Connor, M. T. (2019.). Leading collaborative professionalism. Centre for Strategic Education (Australia).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https://www.andyhargreaves.com/uploads/5/2/9/2/5292616/seminar_series_274-april2018.pdf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Dunne, F., Evans, P., &amp; Thompson-Grove, G. (bez datuma). Consultancy protocol: Framing consultancy dilemmas. Coalition of Essential Schools &amp; Annenberg Institute for School Reform.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https://www.clee.org/wp-content/uploads/2024/07/consultancy.pdf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Mertler, C. A. (2019.). Action research: Improving schools and empowering educators (6th ed.). SAGE Publications.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https://books.google.it/books?id=_KahDwAAQBAJ&amp;lpg=PP1&amp;pg=PP1#v=onepage&amp;q&amp;f=false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Vescio, V., Ross, D., &amp; Adams, A. (2008.). A review of research on the impact of professional learning communities on teaching practice and student learning. Teaching and Teacher Education, 24(1), 80-91. 10.1016/j.tate.2007.01.004.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https://rb.gy/erhvry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University of California. (bez datuma). How to write SMART goals (v2). University of California Office of the President.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https://www.ucop.edu/local-human-resources/_files/performance-appraisal/How+to+write+SMART+Goals+v2.pdf</w:t>
              </w:r>
            </w:hyperlink>
            <w:r w:rsidDel="00000000" w:rsidR="00000000" w:rsidRPr="00000000">
              <w:rPr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Action Research Tutorials. (2023.). Writing SMART research questions for action research [Video]. YouTube. </w:t>
            </w: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https://www.youtube.com/watch?v=U4IU-y9-J8Q</w:t>
              </w:r>
            </w:hyperlink>
            <w:r w:rsidDel="00000000" w:rsidR="00000000" w:rsidRPr="00000000">
              <w:rPr>
                <w:rtl w:val="0"/>
              </w:rPr>
              <w:t xml:space="preserve"> .</w:t>
            </w:r>
          </w:p>
        </w:tc>
      </w:tr>
    </w:tbl>
    <w:p w:rsidR="00000000" w:rsidDel="00000000" w:rsidP="00000000" w:rsidRDefault="00000000" w:rsidRPr="00000000" w14:paraId="0000004C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rPr>
                <w:color w:val="f2f2f2"/>
              </w:rPr>
            </w:pPr>
            <w:r w:rsidDel="00000000" w:rsidR="00000000" w:rsidRPr="00000000">
              <w:rPr>
                <w:color w:val="f2f2f2"/>
                <w:rtl w:val="0"/>
              </w:rPr>
              <w:t xml:space="preserve">SADRŽAJ CJELINE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Uvod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 ovoj cjelini istražujemo kako učitelji mogu postati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sukreatori rješenja </w:t>
            </w:r>
            <w:r w:rsidDel="00000000" w:rsidR="00000000" w:rsidRPr="00000000">
              <w:rPr>
                <w:color w:val="000000"/>
                <w:rtl w:val="0"/>
              </w:rPr>
              <w:t xml:space="preserve">kroz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suradničko akcijsko istraživanje </w:t>
            </w:r>
            <w:r w:rsidDel="00000000" w:rsidR="00000000" w:rsidRPr="00000000">
              <w:rPr>
                <w:color w:val="000000"/>
                <w:rtl w:val="0"/>
              </w:rPr>
              <w:t xml:space="preserve">- strukturirani, refleksivni proces koji osnažuje edukatore da istraže izazove u učionici, osmisle ciljane intervencije i mjere njihov utjecaj. Nadovezujući se na prethodno znanje o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ciklusu akcijskog istraživanja </w:t>
            </w:r>
            <w:r w:rsidDel="00000000" w:rsidR="00000000" w:rsidRPr="00000000">
              <w:rPr>
                <w:color w:val="000000"/>
                <w:rtl w:val="0"/>
              </w:rPr>
              <w:t xml:space="preserve">(Identificiraj → Planiraj → Djeluj → Promatraj → Promišljaj), ova cjelina usredotočuje se na </w:t>
            </w:r>
            <w:r w:rsidDel="00000000" w:rsidR="00000000" w:rsidRPr="00000000">
              <w:rPr>
                <w:b w:val="1"/>
                <w:color w:val="000000"/>
                <w:rtl w:val="0"/>
              </w:rPr>
              <w:t xml:space="preserve">fazu dizajniranja</w:t>
            </w:r>
            <w:r w:rsidDel="00000000" w:rsidR="00000000" w:rsidRPr="00000000">
              <w:rPr>
                <w:color w:val="000000"/>
                <w:rtl w:val="0"/>
              </w:rPr>
              <w:t xml:space="preserve">, u kojoj učitelji rade zajedno kako bi probleme pretvorili u akcijske strategije.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Aktivnosti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ju5lwij23k2b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Sažetak cjeline 7.1 (2 minute)</w:t>
            </w:r>
          </w:p>
          <w:p w:rsidR="00000000" w:rsidDel="00000000" w:rsidP="00000000" w:rsidRDefault="00000000" w:rsidRPr="00000000" w14:paraId="00000054">
            <w:pPr>
              <w:pStyle w:val="Heading4"/>
              <w:rPr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Style w:val="Heading4"/>
              <w:rPr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0"/>
                <w:color w:val="000000"/>
                <w:sz w:val="22"/>
                <w:szCs w:val="22"/>
                <w:rtl w:val="0"/>
              </w:rPr>
              <w:t xml:space="preserve">Prikaznica 5: Sažetak cjeline 7.1</w:t>
            </w:r>
          </w:p>
          <w:p w:rsidR="00000000" w:rsidDel="00000000" w:rsidP="00000000" w:rsidRDefault="00000000" w:rsidRPr="00000000" w14:paraId="00000056">
            <w:pPr>
              <w:pStyle w:val="Heading4"/>
              <w:rPr>
                <w:color w:val="000000"/>
                <w:sz w:val="22"/>
                <w:szCs w:val="22"/>
              </w:rPr>
            </w:pPr>
            <w:bookmarkStart w:colFirst="0" w:colLast="0" w:name="_heading=h.hcoic1xnvq1l" w:id="1"/>
            <w:bookmarkEnd w:id="1"/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br w:type="textWrapping"/>
              <w:t xml:space="preserve">Cilj </w:t>
            </w:r>
            <w:r w:rsidDel="00000000" w:rsidR="00000000" w:rsidRPr="00000000">
              <w:rPr>
                <w:b w:val="0"/>
                <w:color w:val="000000"/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color w:val="000000"/>
                <w:sz w:val="22"/>
                <w:szCs w:val="22"/>
                <w:rtl w:val="0"/>
              </w:rPr>
              <w:t xml:space="preserve">Ponovno aktivirajte prethodno znanje o ciklusu akcijskog istraživanja.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16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Korak-po-korak implementacija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Pregledajte ciklus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4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Prikažite ciklus od 5 faza: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Prepoznaj → Planiraj → Djeluj → Promatraj → Razmišljaj 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4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Zamolite učitelje da se prisjete jednog izazova koji su prepoznali u 1. jedinici (npr. „Zašto djevojčice izbjegavaju robotiku?“).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4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Istraživačka pitanja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4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Istaknite važnost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dobro formuliranih pitanja </w:t>
            </w:r>
            <w:r w:rsidDel="00000000" w:rsidR="00000000" w:rsidRPr="00000000">
              <w:rPr>
                <w:color w:val="000000"/>
                <w:rtl w:val="0"/>
              </w:rPr>
              <w:t xml:space="preserve">(konkretnih, primjenjivih, mjerljivih).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Primjer: Transformacija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"Zašto djevojke izbjegavaju robotiku?" </w:t>
            </w:r>
            <w:r w:rsidDel="00000000" w:rsidR="00000000" w:rsidRPr="00000000">
              <w:rPr>
                <w:color w:val="000000"/>
                <w:rtl w:val="0"/>
              </w:rPr>
              <w:t xml:space="preserve">→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"Kako mogu oblikovati grupne uloge kako bih povećao sudjelovanje djevojaka?"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Povezivanje s intervencijama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4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Naglasite da se današnji fokus pomiče s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identifikacije problema </w:t>
            </w:r>
            <w:r w:rsidDel="00000000" w:rsidR="00000000" w:rsidRPr="00000000">
              <w:rPr>
                <w:color w:val="000000"/>
                <w:rtl w:val="0"/>
              </w:rPr>
              <w:t xml:space="preserve">na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dizajn rješenja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kiik4f85pw52" w:id="2"/>
            <w:bookmarkEnd w:id="2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2. </w:t>
            </w:r>
            <w:r w:rsidDel="00000000" w:rsidR="00000000" w:rsidRPr="00000000">
              <w:rPr>
                <w:i w:val="0"/>
                <w:u w:val="single"/>
                <w:rtl w:val="0"/>
              </w:rPr>
              <w:t xml:space="preserve">Uvod </w:t>
            </w:r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u suradničko akcijsko istraživanje (5 minuta)</w:t>
            </w:r>
          </w:p>
          <w:p w:rsidR="00000000" w:rsidDel="00000000" w:rsidP="00000000" w:rsidRDefault="00000000" w:rsidRPr="00000000" w14:paraId="00000062">
            <w:pPr>
              <w:pStyle w:val="Heading3"/>
              <w:spacing w:after="80" w:before="280" w:lineRule="auto"/>
              <w:rPr>
                <w:color w:val="000000"/>
                <w:sz w:val="22"/>
                <w:szCs w:val="22"/>
              </w:rPr>
            </w:pPr>
            <w:bookmarkStart w:colFirst="0" w:colLast="0" w:name="_heading=h.m04le0cj5zsq" w:id="3"/>
            <w:bookmarkEnd w:id="3"/>
            <w:r w:rsidDel="00000000" w:rsidR="00000000" w:rsidRPr="00000000">
              <w:rPr>
                <w:i w:val="0"/>
                <w:color w:val="000000"/>
                <w:sz w:val="22"/>
                <w:szCs w:val="22"/>
                <w:rtl w:val="0"/>
              </w:rPr>
              <w:t xml:space="preserve">Prikaznica 6</w:t>
            </w:r>
            <w:r w:rsidDel="00000000" w:rsidR="00000000" w:rsidRPr="00000000">
              <w:rPr>
                <w:i w:val="0"/>
                <w:rtl w:val="0"/>
              </w:rPr>
              <w:t xml:space="preserve">: </w:t>
            </w:r>
            <w:r w:rsidDel="00000000" w:rsidR="00000000" w:rsidRPr="00000000">
              <w:rPr>
                <w:i w:val="0"/>
                <w:color w:val="000000"/>
                <w:sz w:val="22"/>
                <w:szCs w:val="22"/>
                <w:rtl w:val="0"/>
              </w:rPr>
              <w:t xml:space="preserve">Uvod u suradničko akcijsko istraživanje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br w:type="textWrapping"/>
              <w:t xml:space="preserve">Cilj</w:t>
            </w:r>
            <w:r w:rsidDel="00000000" w:rsidR="00000000" w:rsidRPr="00000000">
              <w:rPr>
                <w:b w:val="0"/>
                <w:color w:val="000000"/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color w:val="000000"/>
                <w:sz w:val="22"/>
                <w:szCs w:val="22"/>
                <w:rtl w:val="0"/>
              </w:rPr>
              <w:t xml:space="preserve">Definirajte istraživanje suradničkog djelovanja i njegove prednosti.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16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Korak-po-korak implementacija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Definicija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5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Pročitajte naglas: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"Participativni proces u kojem edukatori rade zajedno kako bi istražili zajedničke probleme, implementirali rješenja i procijenili utjecaj."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Prednosti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5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Upoznajte polaznike s prednostima suradničkog istraživanja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(za potpuni opis pogledajte opis prikaznice).</w:t>
            </w:r>
          </w:p>
          <w:p w:rsidR="00000000" w:rsidDel="00000000" w:rsidP="00000000" w:rsidRDefault="00000000" w:rsidRPr="00000000" w14:paraId="0000006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5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Refleksivna rasprava 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5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Okupite polaznike u grupe od 4/5 osoba i pozovite ih da razmisle o sljedećem pitanju: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Jeste li ikada riješili nastavni izazov brainstormingom s jednim ili više kolega? Žele li neki od vas podijeliti svoja iskustva?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160" w:lineRule="auto"/>
              <w:rPr>
                <w:i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Izborni - interaktivni element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Anketa (putem </w:t>
            </w: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Mentimetra 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ili </w:t>
            </w: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Slida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):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"Koja vam se prednost najviše sviđa? Zašto?"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yr0llpnpusib" w:id="4"/>
            <w:bookmarkEnd w:id="4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3. Aktivnost 1 – Izazov - zamjena (15 min)</w:t>
            </w:r>
          </w:p>
          <w:p w:rsidR="00000000" w:rsidDel="00000000" w:rsidP="00000000" w:rsidRDefault="00000000" w:rsidRPr="00000000" w14:paraId="0000006F">
            <w:pPr>
              <w:pStyle w:val="Heading4"/>
              <w:rPr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Style w:val="Heading4"/>
              <w:rPr>
                <w:i w:val="0"/>
                <w:color w:val="000000"/>
                <w:sz w:val="22"/>
                <w:szCs w:val="22"/>
              </w:rPr>
            </w:pPr>
            <w:bookmarkStart w:colFirst="0" w:colLast="0" w:name="_heading=h.lmeos5k2v7dm" w:id="5"/>
            <w:bookmarkEnd w:id="5"/>
            <w:r w:rsidDel="00000000" w:rsidR="00000000" w:rsidRPr="00000000">
              <w:rPr>
                <w:i w:val="0"/>
                <w:color w:val="000000"/>
                <w:sz w:val="22"/>
                <w:szCs w:val="22"/>
                <w:rtl w:val="0"/>
              </w:rPr>
              <w:t xml:space="preserve">Prikaznica 7: Aktivnost 1 – Izazov - zamjena</w:t>
            </w:r>
          </w:p>
          <w:p w:rsidR="00000000" w:rsidDel="00000000" w:rsidP="00000000" w:rsidRDefault="00000000" w:rsidRPr="00000000" w14:paraId="00000071">
            <w:pPr>
              <w:spacing w:after="16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Korak-po-korak implementacija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7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Polaznici odabiru jedan od izazova utvrđenih u cjelini 1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7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Zapisuju to slijedeći ovaj format:</w:t>
            </w:r>
          </w:p>
          <w:p w:rsidR="00000000" w:rsidDel="00000000" w:rsidP="00000000" w:rsidRDefault="00000000" w:rsidRPr="00000000" w14:paraId="00000074">
            <w:pPr>
              <w:ind w:left="1440"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[Grupa učenika] + [jaz u ponašanju/vještinama] + [kontekst].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7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Intervencijska brainstorming akcija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7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Polaznici se okupljaju u grupe od po 3, učitelj A dijeli svoj izazov s dvoje drugih kolega. Svaka grupa dobiva sljedeći zadatak:</w:t>
            </w:r>
          </w:p>
          <w:p w:rsidR="00000000" w:rsidDel="00000000" w:rsidP="00000000" w:rsidRDefault="00000000" w:rsidRPr="00000000" w14:paraId="00000077">
            <w:pPr>
              <w:numPr>
                <w:ilvl w:val="2"/>
                <w:numId w:val="7"/>
              </w:numPr>
              <w:ind w:left="2160" w:hanging="360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Postavljajte pojašnjavajuća pitanja kako biste otkrili temeljne uzroke (npr. „Mislite li da je to samopouzdanje, interes ili dinamika vršnjaka?“)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2"/>
                <w:numId w:val="7"/>
              </w:numPr>
              <w:ind w:left="2160" w:hanging="360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Razmislite o perspektivama koje učitelj možda nije uzeo u obzir (npr. 'Može li sučelje za otklanjanje pogrešaka djelovati zastrašujuće?' ili 'Jeste li isprobali parove za otklanjanje pogrešaka među kolegama?')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7"/>
              </w:numPr>
              <w:spacing w:after="16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Brainstorming (2. i 3. krug): </w:t>
            </w:r>
            <w:r w:rsidDel="00000000" w:rsidR="00000000" w:rsidRPr="00000000">
              <w:rPr>
                <w:color w:val="000000"/>
                <w:rtl w:val="0"/>
              </w:rPr>
              <w:t xml:space="preserve">ponoviti za učitelje B i C.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7"/>
              </w:numPr>
              <w:spacing w:after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Usavršavanje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7"/>
              </w:numPr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Polaznici revidiraju svoj izvorni izazov na temelju povratnih informacija grupe koristeći kontrolnu listu: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specifičan, izvediv, mjerljiv.</w:t>
            </w:r>
            <w:r w:rsidDel="00000000" w:rsidR="00000000" w:rsidRPr="00000000">
              <w:rPr>
                <w:color w:val="000000"/>
                <w:rtl w:val="0"/>
              </w:rPr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y88xbm1wkkjb" w:id="6"/>
            <w:bookmarkEnd w:id="6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4. Ključna načela za učinkovita rješenja/intervencije (2 minute)</w:t>
            </w:r>
          </w:p>
          <w:p w:rsidR="00000000" w:rsidDel="00000000" w:rsidP="00000000" w:rsidRDefault="00000000" w:rsidRPr="00000000" w14:paraId="0000007E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Prikaznica 8 – Ova prikaznica sadrži teorijsko znanje.</w:t>
            </w:r>
          </w:p>
          <w:p w:rsidR="00000000" w:rsidDel="00000000" w:rsidP="00000000" w:rsidRDefault="00000000" w:rsidRPr="00000000" w14:paraId="0000007F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Navedite 5 ključnih načela za učinkovita rješenja/intervencije (za detaljnije informacije pogledajte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bilješke predavača</w:t>
            </w:r>
            <w:r w:rsidDel="00000000" w:rsidR="00000000" w:rsidRPr="00000000">
              <w:rPr>
                <w:color w:val="000000"/>
                <w:rtl w:val="0"/>
              </w:rPr>
              <w:t xml:space="preserve">):</w:t>
            </w:r>
          </w:p>
          <w:p w:rsidR="00000000" w:rsidDel="00000000" w:rsidP="00000000" w:rsidRDefault="00000000" w:rsidRPr="00000000" w14:paraId="00000080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 – Usklađeno s informatičkim ciljevima</w:t>
            </w:r>
          </w:p>
          <w:p w:rsidR="00000000" w:rsidDel="00000000" w:rsidP="00000000" w:rsidRDefault="00000000" w:rsidRPr="00000000" w14:paraId="00000081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 – Promiče rodnu uključivost</w:t>
            </w:r>
          </w:p>
          <w:p w:rsidR="00000000" w:rsidDel="00000000" w:rsidP="00000000" w:rsidRDefault="00000000" w:rsidRPr="00000000" w14:paraId="00000082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 – Ukorijenjeno u utvrđenim uzrocima</w:t>
            </w:r>
          </w:p>
          <w:p w:rsidR="00000000" w:rsidDel="00000000" w:rsidP="00000000" w:rsidRDefault="00000000" w:rsidRPr="00000000" w14:paraId="00000083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 – Pod vašom kontrolom</w:t>
            </w:r>
          </w:p>
          <w:p w:rsidR="00000000" w:rsidDel="00000000" w:rsidP="00000000" w:rsidRDefault="00000000" w:rsidRPr="00000000" w14:paraId="00000084">
            <w:pPr>
              <w:spacing w:after="200" w:lineRule="auto"/>
              <w:rPr>
                <w:u w:val="singl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 – Mjerljivi rezultati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r7o4jgkuyht3" w:id="7"/>
            <w:bookmarkEnd w:id="7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5. Primjer strategija intervencije (5 minuta)</w:t>
            </w:r>
          </w:p>
          <w:p w:rsidR="00000000" w:rsidDel="00000000" w:rsidP="00000000" w:rsidRDefault="00000000" w:rsidRPr="00000000" w14:paraId="00000087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br w:type="textWrapping"/>
              <w:t xml:space="preserve">Prikaznice 9 i 10 </w:t>
              <w:br w:type="textWrapping"/>
              <w:t xml:space="preserve">Cilj: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transformirati identificirane izazove u primjenjive, uključive strategije intervencije korištenjem pristupa utemeljenih na dokazima.</w:t>
            </w:r>
          </w:p>
          <w:p w:rsidR="00000000" w:rsidDel="00000000" w:rsidP="00000000" w:rsidRDefault="00000000" w:rsidRPr="00000000" w14:paraId="00000088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Analiza studije slučaja počevši od sljedećeg izazova: Djevojke se isključuju tijekom natjecateljskih izazova u kodiranju.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spacing w:after="20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Upoznajte polaznike sa svakom od 4 različite strategije koje se mogu primijeniti u slučaju ovog primjera, kako se one bave uključivošću, mjerljivim rezultatima koji se mogu definirati na temelju odabrane strategije i savjetima za provedbu.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hfr5fdw26lhm" w:id="8"/>
            <w:bookmarkEnd w:id="8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6. Aktivnost 2 Intervencija - brainstorming (1-4 min)</w:t>
            </w:r>
          </w:p>
          <w:p w:rsidR="00000000" w:rsidDel="00000000" w:rsidP="00000000" w:rsidRDefault="00000000" w:rsidRPr="00000000" w14:paraId="0000008C">
            <w:pPr>
              <w:spacing w:after="20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br w:type="textWrapping"/>
              <w:t xml:space="preserve">Prikaznica 11 </w:t>
              <w:br w:type="textWrapping"/>
              <w:t xml:space="preserve">1. Formiranje grupe (1 minuta)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spacing w:after="20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Organizirajte male grupe od 3-4 učitelja.</w:t>
            </w:r>
          </w:p>
          <w:p w:rsidR="00000000" w:rsidDel="00000000" w:rsidP="00000000" w:rsidRDefault="00000000" w:rsidRPr="00000000" w14:paraId="0000008E">
            <w:pPr>
              <w:spacing w:after="20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2. Dijeljenje izazova (4 minute)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20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Struktura</w:t>
            </w:r>
            <w:r w:rsidDel="00000000" w:rsidR="00000000" w:rsidRPr="00000000">
              <w:rPr>
                <w:color w:val="00000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2"/>
              </w:numPr>
              <w:spacing w:after="200" w:lineRule="auto"/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Svaki učitelj predstavlja svoj izazov u 1 minuti. Učitelji se pozivaju da aktivno slušaju i zapisuju bilješke o zajedničkim temama.</w:t>
            </w:r>
          </w:p>
          <w:p w:rsidR="00000000" w:rsidDel="00000000" w:rsidP="00000000" w:rsidRDefault="00000000" w:rsidRPr="00000000" w14:paraId="00000091">
            <w:pPr>
              <w:spacing w:after="20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3. Intervencija - brainstorming (5 minuta)</w:t>
            </w:r>
          </w:p>
          <w:p w:rsidR="00000000" w:rsidDel="00000000" w:rsidP="00000000" w:rsidRDefault="00000000" w:rsidRPr="00000000" w14:paraId="00000092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Zadatak: Za svaki izazov, razmislite o 2-3 strategije rješenja/intervencije.</w:t>
            </w:r>
          </w:p>
          <w:p w:rsidR="00000000" w:rsidDel="00000000" w:rsidP="00000000" w:rsidRDefault="00000000" w:rsidRPr="00000000" w14:paraId="00000093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Pitanja: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Kako je izazov usklađen s principima informatičkog obrazovanja?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Promiče li rodnu uključivost?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Može li se praktično implementirati unutar 2-4 tjedna?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Koje mjerljive ishode bismo mogli pratiti?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59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4. Svaka grupa predstavlja jednu ideju za intervenciju (4 min)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186r4mmqzih7" w:id="9"/>
            <w:bookmarkEnd w:id="9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7. Od ideja do akcije – izrada vašeg plana akcijskog istraživanja (3 minute)</w:t>
            </w:r>
          </w:p>
          <w:p w:rsidR="00000000" w:rsidDel="00000000" w:rsidP="00000000" w:rsidRDefault="00000000" w:rsidRPr="00000000" w14:paraId="0000009B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br w:type="textWrapping"/>
              <w:t xml:space="preserve">Prikaznice 12-14: Od ideja do akcije – izgradnja vašeg plana akcijskog istraživanja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Upoznajte polaznike s 5 koraka za izradu njihovog plana akcijskog istraživanja (detaljan sadržaj potražite u bilješkama govornika):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Istraživačko pitanje (SMART)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3"/>
              </w:numP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Strategija intervencije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3"/>
              </w:numP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Koraci implementacije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3"/>
              </w:numP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Metode prikupljanja podataka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3"/>
              </w:numPr>
              <w:spacing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Plan suradnje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y5te71d1wuwz" w:id="10"/>
            <w:bookmarkEnd w:id="10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8. Aktivnost 3: Razvoj plana (12 minuta)</w:t>
            </w:r>
          </w:p>
          <w:p w:rsidR="00000000" w:rsidDel="00000000" w:rsidP="00000000" w:rsidRDefault="00000000" w:rsidRPr="00000000" w14:paraId="000000A4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br w:type="textWrapping"/>
              <w:t xml:space="preserve">Prikaznica 15: Aktivnost 3 - Razvoj plana. </w:t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Polaznici ispunjavaju vlastiti predložak Plana akcijskog istraživanja (podijelite predložak Plana akcijskog istraživanja).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1"/>
              </w:numPr>
              <w:spacing w:line="259" w:lineRule="auto"/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 temelju preciziranog istraživačkog pitanja, polaznici izrađuju plan akcijskog istraživanja u koji uključuju 1) svoje precizirano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istraživačko pitanje </w:t>
            </w:r>
            <w:r w:rsidDel="00000000" w:rsidR="00000000" w:rsidRPr="00000000">
              <w:rPr>
                <w:color w:val="000000"/>
                <w:rtl w:val="0"/>
              </w:rPr>
              <w:t xml:space="preserve">; 2) svoju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strategiju intervencije </w:t>
            </w:r>
            <w:r w:rsidDel="00000000" w:rsidR="00000000" w:rsidRPr="00000000">
              <w:rPr>
                <w:color w:val="000000"/>
                <w:rtl w:val="0"/>
              </w:rPr>
              <w:t xml:space="preserve">, 3) 3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koraka provedbe </w:t>
            </w:r>
            <w:r w:rsidDel="00000000" w:rsidR="00000000" w:rsidRPr="00000000">
              <w:rPr>
                <w:color w:val="000000"/>
                <w:rtl w:val="0"/>
              </w:rPr>
              <w:t xml:space="preserve">(ili više), 4)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metode prikupljanja podataka </w:t>
            </w:r>
            <w:r w:rsidDel="00000000" w:rsidR="00000000" w:rsidRPr="00000000">
              <w:rPr>
                <w:color w:val="000000"/>
                <w:rtl w:val="0"/>
              </w:rPr>
              <w:t xml:space="preserve">kojima će se poslužiti i na kraju 5)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plan suradnje </w:t>
            </w:r>
            <w:r w:rsidDel="00000000" w:rsidR="00000000" w:rsidRPr="00000000">
              <w:rPr>
                <w:color w:val="000000"/>
                <w:rtl w:val="0"/>
              </w:rPr>
              <w:t xml:space="preserve">koji navodi različite suradnje koje će imati za uspješnu provedbu svog Plana.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1"/>
              </w:numPr>
              <w:spacing w:line="259" w:lineRule="auto"/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Nakon što završe i ako preostane vremena, polaznici se uparuju kako bi dali i primili povratne informacije o svom planu koristeći sljedeće kriterije:</w:t>
            </w:r>
          </w:p>
          <w:p w:rsidR="00000000" w:rsidDel="00000000" w:rsidP="00000000" w:rsidRDefault="00000000" w:rsidRPr="00000000" w14:paraId="000000A7">
            <w:pPr>
              <w:numPr>
                <w:ilvl w:val="2"/>
                <w:numId w:val="3"/>
              </w:numPr>
              <w:spacing w:line="259" w:lineRule="auto"/>
              <w:ind w:left="21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Jasnoća istraživačkog pitanja</w:t>
            </w:r>
          </w:p>
          <w:p w:rsidR="00000000" w:rsidDel="00000000" w:rsidP="00000000" w:rsidRDefault="00000000" w:rsidRPr="00000000" w14:paraId="000000A8">
            <w:pPr>
              <w:numPr>
                <w:ilvl w:val="2"/>
                <w:numId w:val="3"/>
              </w:numPr>
              <w:spacing w:line="259" w:lineRule="auto"/>
              <w:ind w:left="21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Izvedivost intervencije</w:t>
            </w:r>
          </w:p>
          <w:p w:rsidR="00000000" w:rsidDel="00000000" w:rsidP="00000000" w:rsidRDefault="00000000" w:rsidRPr="00000000" w14:paraId="000000A9">
            <w:pPr>
              <w:numPr>
                <w:ilvl w:val="2"/>
                <w:numId w:val="3"/>
              </w:numPr>
              <w:spacing w:line="259" w:lineRule="auto"/>
              <w:ind w:left="21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Prikladnost prikupljanja podataka</w:t>
            </w:r>
          </w:p>
          <w:p w:rsidR="00000000" w:rsidDel="00000000" w:rsidP="00000000" w:rsidRDefault="00000000" w:rsidRPr="00000000" w14:paraId="000000AA">
            <w:pPr>
              <w:numPr>
                <w:ilvl w:val="2"/>
                <w:numId w:val="3"/>
              </w:numPr>
              <w:spacing w:after="200" w:line="259" w:lineRule="auto"/>
              <w:ind w:left="21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Potencijal za suradnju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Style w:val="Heading3"/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rrlcu71n66nd" w:id="11"/>
            <w:bookmarkEnd w:id="11"/>
            <w:r w:rsidDel="00000000" w:rsidR="00000000" w:rsidRPr="00000000">
              <w:rPr>
                <w:i w:val="0"/>
                <w:color w:val="000000"/>
                <w:u w:val="single"/>
                <w:rtl w:val="0"/>
              </w:rPr>
              <w:t xml:space="preserve">9. Zaključak i sljedeći koraci (2 minute)</w:t>
            </w:r>
          </w:p>
          <w:p w:rsidR="00000000" w:rsidDel="00000000" w:rsidP="00000000" w:rsidRDefault="00000000" w:rsidRPr="00000000" w14:paraId="000000AD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br w:type="textWrapping"/>
              <w:t xml:space="preserve">Prikaznica 16: Zaključak i sljedeći koraci </w:t>
              <w:br w:type="textWrapping"/>
            </w:r>
            <w:r w:rsidDel="00000000" w:rsidR="00000000" w:rsidRPr="00000000">
              <w:rPr>
                <w:color w:val="000000"/>
                <w:rtl w:val="0"/>
              </w:rPr>
              <w:t xml:space="preserve">Sažmite ključne točke cjeline i predstavite sljedeće korake.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Procjena</w:t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Ako vam preostane vremena, možete započeti raspravu o cijelom Modulu 7.</w:t>
            </w:r>
          </w:p>
        </w:tc>
      </w:tr>
    </w:tbl>
    <w:p w:rsidR="00000000" w:rsidDel="00000000" w:rsidP="00000000" w:rsidRDefault="00000000" w:rsidRPr="00000000" w14:paraId="000000B0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0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B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ZAKLJUČAK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B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Razmišljanje i zaključak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after="20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Prikaznica 16: Zaključak i sljedeći koraci</w:t>
            </w:r>
          </w:p>
          <w:p w:rsidR="00000000" w:rsidDel="00000000" w:rsidP="00000000" w:rsidRDefault="00000000" w:rsidRPr="00000000" w14:paraId="000000B6">
            <w:pPr>
              <w:spacing w:after="16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Sažmite ključne točke cjeline i predstavite sljedeće korake.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Domaća zadaća/Dodatni zadaci</w:t>
            </w:r>
          </w:p>
        </w:tc>
        <w:tc>
          <w:tcPr/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B9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21" w:type="default"/>
      <w:headerReference r:id="rId22" w:type="first"/>
      <w:headerReference r:id="rId23" w:type="even"/>
      <w:footerReference r:id="rId24" w:type="default"/>
      <w:footerReference r:id="rId25" w:type="first"/>
      <w:footerReference r:id="rId26" w:type="even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736600</wp:posOffset>
              </wp:positionH>
              <wp:positionV relativeFrom="paragraph">
                <wp:posOffset>0</wp:posOffset>
              </wp:positionV>
              <wp:extent cx="5519420" cy="771525"/>
              <wp:effectExtent b="0" l="0" r="0" t="0"/>
              <wp:wrapNone/>
              <wp:docPr id="159700706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736600</wp:posOffset>
              </wp:positionH>
              <wp:positionV relativeFrom="paragraph">
                <wp:posOffset>0</wp:posOffset>
              </wp:positionV>
              <wp:extent cx="5519420" cy="771525"/>
              <wp:effectExtent b="0" l="0" r="0" t="0"/>
              <wp:wrapNone/>
              <wp:docPr id="159700706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19420" cy="771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-647699</wp:posOffset>
          </wp:positionH>
          <wp:positionV relativeFrom="paragraph">
            <wp:posOffset>228600</wp:posOffset>
          </wp:positionV>
          <wp:extent cx="1311275" cy="337820"/>
          <wp:effectExtent b="0" l="0" r="0" t="0"/>
          <wp:wrapNone/>
          <wp:docPr id="1597007068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1d1d1b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h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6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7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8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72EE"/>
  </w:style>
  <w:style w:type="character" w:styleId="Heading1Char" w:customStyle="1">
    <w:name w:val="Heading 1 Char"/>
    <w:basedOn w:val="DefaultParagraphFont"/>
    <w:link w:val="Heading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 w:val="1"/>
    <w:rsid w:val="00B22564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7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8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9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b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c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B4225"/>
    <w:rPr>
      <w:color w:val="605e5c"/>
      <w:shd w:color="auto" w:fill="e1dfdd" w:val="clear"/>
    </w:rPr>
  </w:style>
  <w:style w:type="character" w:styleId="Strong">
    <w:name w:val="Strong"/>
    <w:basedOn w:val="DefaultParagraphFont"/>
    <w:uiPriority w:val="22"/>
    <w:qFormat w:val="1"/>
    <w:rsid w:val="006531C2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6531C2"/>
    <w:rPr>
      <w:i w:val="1"/>
      <w:iCs w:val="1"/>
    </w:rPr>
  </w:style>
  <w:style w:type="table" w:styleId="afffd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e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slido.com/features-live-polling" TargetMode="External"/><Relationship Id="rId22" Type="http://schemas.openxmlformats.org/officeDocument/2006/relationships/header" Target="header3.xml"/><Relationship Id="rId21" Type="http://schemas.openxmlformats.org/officeDocument/2006/relationships/header" Target="header2.xml"/><Relationship Id="rId24" Type="http://schemas.openxmlformats.org/officeDocument/2006/relationships/footer" Target="footer2.xml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26" Type="http://schemas.openxmlformats.org/officeDocument/2006/relationships/footer" Target="footer1.xml"/><Relationship Id="rId25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3.png"/><Relationship Id="rId11" Type="http://schemas.openxmlformats.org/officeDocument/2006/relationships/hyperlink" Target="https://miro.com/it/" TargetMode="External"/><Relationship Id="rId10" Type="http://schemas.openxmlformats.org/officeDocument/2006/relationships/image" Target="media/image2.jpg"/><Relationship Id="rId13" Type="http://schemas.openxmlformats.org/officeDocument/2006/relationships/hyperlink" Target="https://www.andyhargreaves.com/uploads/5/2/9/2/5292616/seminar_series_274-april2018.pdf" TargetMode="External"/><Relationship Id="rId12" Type="http://schemas.openxmlformats.org/officeDocument/2006/relationships/hyperlink" Target="https://padlet.com/auth/signup?redirect_uri=https%3A%2F%2Fpadlet.com%2Fquick-create%3Flayout%3Dgrid" TargetMode="External"/><Relationship Id="rId15" Type="http://schemas.openxmlformats.org/officeDocument/2006/relationships/hyperlink" Target="https://books.google.it/books?id=_KahDwAAQBAJ&amp;lpg=PP1&amp;pg=PP1#v=onepage&amp;q&amp;f=false" TargetMode="External"/><Relationship Id="rId14" Type="http://schemas.openxmlformats.org/officeDocument/2006/relationships/hyperlink" Target="https://www.clee.org/wp-content/uploads/2024/07/consultancy.pdf" TargetMode="External"/><Relationship Id="rId17" Type="http://schemas.openxmlformats.org/officeDocument/2006/relationships/hyperlink" Target="https://www.ucop.edu/local-human-resources/_files/performance-appraisal/How+to+write+SMART+Goals+v2.pdf" TargetMode="External"/><Relationship Id="rId16" Type="http://schemas.openxmlformats.org/officeDocument/2006/relationships/hyperlink" Target="https://rb.gy/erhvry" TargetMode="External"/><Relationship Id="rId19" Type="http://schemas.openxmlformats.org/officeDocument/2006/relationships/hyperlink" Target="https://www.mentimeter.com/" TargetMode="External"/><Relationship Id="rId18" Type="http://schemas.openxmlformats.org/officeDocument/2006/relationships/hyperlink" Target="https://www.youtube.com/watch?v=U4IU-y9-J8Q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DgY8rYfv60w6RmFbXu29v0lohw==">CgMxLjAyDmguanU1bHdpajIzazJiMg5oLmhjb2ljMXhudnExbDIOaC5raWlrNGY4NXB3NTIyDmgubTA0bGUwY2o1enNxMg5oLnlyMGxscG5wdXNpYjIOaC5sbWVvczVrMnY3ZG0yDmgueTg4eGJtMXdra2piMg5oLnI3bzRqZ2t1eWh0MzIOaC5oZnI1ZmR3MjZsaG0yDmguMTg2cjRtbXF6aWg3Mg5oLnk1dGU3MWQxd3V3ejIOaC5ycmxjdTcxbjY2bmQ4AHIhMWpmVTEwa1E5S1JKM0c4ZktnTVVQLVRBR0pXY0FmZk40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2025-04-14T09:32:00Z</dcterms:created>
  <dc:creator>Helen</dc:creator>
</cp:coreProperties>
</file>